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3" w:rsidRPr="00434FA6" w:rsidRDefault="003146F3" w:rsidP="00BD6D5D">
      <w:pPr>
        <w:pStyle w:val="newncpi"/>
        <w:ind w:firstLine="0"/>
      </w:pPr>
      <w:bookmarkStart w:id="0" w:name="a142"/>
      <w:bookmarkStart w:id="1" w:name="a1"/>
      <w:bookmarkEnd w:id="0"/>
      <w:bookmarkEnd w:id="1"/>
      <w:r w:rsidRPr="00434FA6">
        <w:t>ПОСТАНОВЛЕНИЕ</w:t>
      </w:r>
      <w:r w:rsidR="00BD6D5D" w:rsidRPr="00434FA6">
        <w:rPr>
          <w:bCs/>
          <w:caps/>
        </w:rPr>
        <w:t xml:space="preserve"> </w:t>
      </w:r>
      <w:r w:rsidRPr="00434FA6">
        <w:t>МИНИСТЕРСТВА</w:t>
      </w:r>
      <w:r w:rsidRPr="00434FA6">
        <w:rPr>
          <w:bCs/>
          <w:caps/>
        </w:rPr>
        <w:t xml:space="preserve"> </w:t>
      </w:r>
      <w:r w:rsidRPr="00434FA6">
        <w:t>ЗДРАВООХРАНЕНИЯ</w:t>
      </w:r>
      <w:r w:rsidRPr="00434FA6">
        <w:rPr>
          <w:bCs/>
          <w:caps/>
        </w:rPr>
        <w:t xml:space="preserve"> </w:t>
      </w:r>
      <w:r w:rsidRPr="00434FA6">
        <w:t>РЕСПУБЛИКИ</w:t>
      </w:r>
      <w:r w:rsidR="00BD6D5D" w:rsidRPr="00434FA6">
        <w:rPr>
          <w:bCs/>
          <w:caps/>
        </w:rPr>
        <w:t xml:space="preserve"> </w:t>
      </w:r>
      <w:r w:rsidRPr="00434FA6">
        <w:t>БЕЛАРУСЬ</w:t>
      </w:r>
    </w:p>
    <w:p w:rsidR="003146F3" w:rsidRPr="00434FA6" w:rsidRDefault="003146F3" w:rsidP="00BD6D5D">
      <w:pPr>
        <w:pStyle w:val="newncpi"/>
        <w:ind w:firstLine="0"/>
      </w:pPr>
      <w:r w:rsidRPr="00434FA6">
        <w:t>29</w:t>
      </w:r>
      <w:r w:rsidRPr="00434FA6">
        <w:rPr>
          <w:i/>
          <w:iCs/>
        </w:rPr>
        <w:t xml:space="preserve"> </w:t>
      </w:r>
      <w:r w:rsidRPr="00434FA6">
        <w:t>июля</w:t>
      </w:r>
      <w:r w:rsidRPr="00434FA6">
        <w:rPr>
          <w:i/>
          <w:iCs/>
        </w:rPr>
        <w:t xml:space="preserve"> </w:t>
      </w:r>
      <w:r w:rsidRPr="00434FA6">
        <w:t>2019</w:t>
      </w:r>
      <w:r w:rsidRPr="00434FA6">
        <w:rPr>
          <w:i/>
          <w:iCs/>
        </w:rPr>
        <w:t xml:space="preserve"> г. </w:t>
      </w:r>
      <w:r w:rsidRPr="00434FA6">
        <w:t>№</w:t>
      </w:r>
      <w:r w:rsidRPr="00434FA6">
        <w:rPr>
          <w:i/>
          <w:iCs/>
        </w:rPr>
        <w:t xml:space="preserve"> </w:t>
      </w:r>
      <w:r w:rsidRPr="00434FA6">
        <w:t>74</w:t>
      </w:r>
    </w:p>
    <w:p w:rsidR="003146F3" w:rsidRPr="00434FA6" w:rsidRDefault="00BD6D5D" w:rsidP="00BD6D5D">
      <w:pPr>
        <w:pStyle w:val="newncpi"/>
        <w:ind w:firstLine="0"/>
      </w:pPr>
      <w:r w:rsidRPr="00434FA6">
        <w:t>«</w:t>
      </w:r>
      <w:r w:rsidR="003146F3" w:rsidRPr="00434FA6">
        <w:t>О проведении обязательных и внеочередных медицинских осмотров работающих</w:t>
      </w:r>
      <w:r w:rsidRPr="00434FA6">
        <w:t>»</w:t>
      </w:r>
    </w:p>
    <w:p w:rsidR="003146F3" w:rsidRPr="00434FA6" w:rsidRDefault="00BD6D5D" w:rsidP="00BD6D5D">
      <w:pPr>
        <w:pStyle w:val="point"/>
        <w:ind w:firstLine="0"/>
      </w:pPr>
      <w:r w:rsidRPr="00434FA6">
        <w:t>(</w:t>
      </w:r>
      <w:proofErr w:type="spellStart"/>
      <w:r w:rsidRPr="00434FA6">
        <w:t>рег</w:t>
      </w:r>
      <w:proofErr w:type="spellEnd"/>
      <w:r w:rsidRPr="00434FA6">
        <w:t>. № 8/34675 от 03.10.2019)</w:t>
      </w:r>
    </w:p>
    <w:p w:rsidR="00BD6D5D" w:rsidRPr="00434FA6" w:rsidRDefault="00BD6D5D" w:rsidP="00BD6D5D">
      <w:pPr>
        <w:pStyle w:val="point"/>
        <w:ind w:firstLine="0"/>
      </w:pPr>
      <w:r w:rsidRPr="00434FA6">
        <w:t>&lt;ИЗВЛЕЧЕНИЕ&gt;</w:t>
      </w:r>
    </w:p>
    <w:p w:rsidR="003146F3" w:rsidRDefault="003146F3" w:rsidP="00BD6D5D">
      <w:pPr>
        <w:pStyle w:val="newncpi"/>
      </w:pPr>
      <w:r>
        <w:t xml:space="preserve">28. При воздействии вредных и (или) опасных производственных факторов, указанных в </w:t>
      </w:r>
      <w:hyperlink r:id="rId4" w:anchor="a4" w:tooltip="+" w:history="1">
        <w:r w:rsidRPr="00BD6D5D">
          <w:t>приложении 1</w:t>
        </w:r>
      </w:hyperlink>
      <w:r>
        <w:t>, периодичность прохождения периодических медосмотров определяется по результатам оценки условий труда со следующей периодичностью:</w:t>
      </w:r>
    </w:p>
    <w:p w:rsidR="003146F3" w:rsidRPr="00BD6D5D" w:rsidRDefault="003146F3" w:rsidP="003146F3">
      <w:pPr>
        <w:pStyle w:val="newncpi"/>
        <w:rPr>
          <w:b/>
        </w:rPr>
      </w:pPr>
      <w:r w:rsidRPr="00BD6D5D">
        <w:rPr>
          <w:b/>
        </w:rPr>
        <w:t>1 раз в год:</w:t>
      </w:r>
    </w:p>
    <w:p w:rsidR="003146F3" w:rsidRDefault="003146F3" w:rsidP="003146F3">
      <w:pPr>
        <w:pStyle w:val="newncpi"/>
      </w:pPr>
      <w:proofErr w:type="gramStart"/>
      <w:r>
        <w:t>при воздействии вредных и (или) опасных производственных факторов, которые по результатам оценки условий труда отнесены к вредным третьего класса третьей, четвертой степени (класс 3.3, 3.4) и (или) опасным четвертого класса (класс 4);</w:t>
      </w:r>
      <w:proofErr w:type="gramEnd"/>
    </w:p>
    <w:p w:rsidR="003146F3" w:rsidRDefault="003146F3" w:rsidP="003146F3">
      <w:pPr>
        <w:pStyle w:val="newncpi"/>
      </w:pPr>
      <w:r>
        <w:t>при воздействии химических факторов (химических веществ 1-го и (или) 2-го класса опасности), указанных в </w:t>
      </w:r>
      <w:hyperlink r:id="rId5" w:anchor="a17" w:tooltip="+" w:history="1">
        <w:r w:rsidRPr="00BD6D5D">
          <w:t>пункте 1</w:t>
        </w:r>
      </w:hyperlink>
      <w:r>
        <w:t xml:space="preserve"> приложения 1;</w:t>
      </w:r>
    </w:p>
    <w:p w:rsidR="003146F3" w:rsidRDefault="003146F3" w:rsidP="003146F3">
      <w:pPr>
        <w:pStyle w:val="newncpi"/>
      </w:pPr>
      <w:r>
        <w:t>при воздействии химических факторов, указанных в </w:t>
      </w:r>
      <w:hyperlink r:id="rId6" w:anchor="a18" w:tooltip="+" w:history="1">
        <w:r w:rsidRPr="00BD6D5D">
          <w:t>подпункте 1.2.2</w:t>
        </w:r>
      </w:hyperlink>
      <w:r>
        <w:t xml:space="preserve"> пункта 1 приложения 1;</w:t>
      </w:r>
    </w:p>
    <w:p w:rsidR="003146F3" w:rsidRDefault="003146F3" w:rsidP="003146F3">
      <w:pPr>
        <w:pStyle w:val="newncpi"/>
      </w:pPr>
      <w:r>
        <w:t xml:space="preserve">при воздействии биологических факторов, указанных в подпунктах </w:t>
      </w:r>
      <w:hyperlink r:id="rId7" w:anchor="a13" w:tooltip="+" w:history="1">
        <w:r w:rsidRPr="00BD6D5D">
          <w:t>2.4</w:t>
        </w:r>
      </w:hyperlink>
      <w:r>
        <w:t xml:space="preserve">, 2.5, </w:t>
      </w:r>
      <w:hyperlink r:id="rId8" w:anchor="a14" w:tooltip="+" w:history="1">
        <w:r w:rsidRPr="00BD6D5D">
          <w:t>2.8</w:t>
        </w:r>
      </w:hyperlink>
      <w:r>
        <w:t xml:space="preserve"> пункта 2 приложения 1;</w:t>
      </w:r>
    </w:p>
    <w:p w:rsidR="003146F3" w:rsidRDefault="003146F3" w:rsidP="003146F3">
      <w:pPr>
        <w:pStyle w:val="newncpi"/>
      </w:pPr>
      <w:r>
        <w:t xml:space="preserve">при воздействии физических факторов, указанных в подпунктах </w:t>
      </w:r>
      <w:hyperlink r:id="rId9" w:anchor="a19" w:tooltip="+" w:history="1">
        <w:r w:rsidRPr="00BD6D5D">
          <w:t>4.1.1</w:t>
        </w:r>
      </w:hyperlink>
      <w:r>
        <w:t xml:space="preserve">, </w:t>
      </w:r>
      <w:hyperlink r:id="rId10" w:anchor="a16" w:tooltip="+" w:history="1">
        <w:r w:rsidRPr="00BD6D5D">
          <w:t>4.6</w:t>
        </w:r>
      </w:hyperlink>
      <w:r>
        <w:t xml:space="preserve"> пункта 4 приложения 1;</w:t>
      </w:r>
    </w:p>
    <w:p w:rsidR="003146F3" w:rsidRPr="00BD6D5D" w:rsidRDefault="003146F3" w:rsidP="003146F3">
      <w:pPr>
        <w:pStyle w:val="newncpi"/>
        <w:rPr>
          <w:b/>
        </w:rPr>
      </w:pPr>
      <w:r w:rsidRPr="00BD6D5D">
        <w:rPr>
          <w:b/>
        </w:rPr>
        <w:t>1 раз в 2 года:</w:t>
      </w:r>
    </w:p>
    <w:p w:rsidR="003146F3" w:rsidRDefault="003146F3" w:rsidP="003146F3">
      <w:pPr>
        <w:pStyle w:val="newncpi"/>
      </w:pPr>
      <w:proofErr w:type="gramStart"/>
      <w:r>
        <w:t>при воздействии вредных и (или) опасных производственных факторов, которые по результатам оценки условий труда отнесены к вредным третьего класса первой, второй степени (класс 3.1, 3.2);</w:t>
      </w:r>
      <w:proofErr w:type="gramEnd"/>
    </w:p>
    <w:p w:rsidR="003146F3" w:rsidRDefault="003146F3" w:rsidP="003146F3">
      <w:pPr>
        <w:pStyle w:val="newncpi"/>
      </w:pPr>
      <w:r>
        <w:t xml:space="preserve">при воздействии химических факторов, указанных в подпунктах </w:t>
      </w:r>
      <w:hyperlink r:id="rId11" w:anchor="a20" w:tooltip="+" w:history="1">
        <w:r w:rsidRPr="00BD6D5D">
          <w:t>1.2.5</w:t>
        </w:r>
      </w:hyperlink>
      <w:r>
        <w:t xml:space="preserve">, </w:t>
      </w:r>
      <w:hyperlink r:id="rId12" w:anchor="a21" w:tooltip="+" w:history="1">
        <w:r w:rsidRPr="00BD6D5D">
          <w:t>1.2.7</w:t>
        </w:r>
      </w:hyperlink>
      <w:r>
        <w:t xml:space="preserve"> и 1.2.8 пункта 1 приложения 1;</w:t>
      </w:r>
    </w:p>
    <w:p w:rsidR="003146F3" w:rsidRDefault="003146F3" w:rsidP="003146F3">
      <w:pPr>
        <w:pStyle w:val="newncpi"/>
      </w:pPr>
      <w:r>
        <w:t xml:space="preserve">при воздействии биологических факторов, указанных в подпунктах </w:t>
      </w:r>
      <w:hyperlink r:id="rId13" w:anchor="a22" w:tooltip="+" w:history="1">
        <w:r w:rsidRPr="00BD6D5D">
          <w:t>2.1–2.3</w:t>
        </w:r>
      </w:hyperlink>
      <w:r>
        <w:t xml:space="preserve">, </w:t>
      </w:r>
      <w:hyperlink r:id="rId14" w:anchor="a23" w:tooltip="+" w:history="1">
        <w:r w:rsidRPr="00BD6D5D">
          <w:t>2.6</w:t>
        </w:r>
      </w:hyperlink>
      <w:r>
        <w:t xml:space="preserve"> и 2.7 пункта 2 приложения 1;</w:t>
      </w:r>
    </w:p>
    <w:p w:rsidR="003146F3" w:rsidRDefault="003146F3" w:rsidP="003146F3">
      <w:pPr>
        <w:pStyle w:val="newncpi"/>
      </w:pPr>
      <w:r>
        <w:t>при воздейств</w:t>
      </w:r>
      <w:proofErr w:type="gramStart"/>
      <w:r>
        <w:t>ии аэ</w:t>
      </w:r>
      <w:proofErr w:type="gramEnd"/>
      <w:r>
        <w:t xml:space="preserve">розолей преимущественно </w:t>
      </w:r>
      <w:proofErr w:type="spellStart"/>
      <w:r>
        <w:t>фиброгенного</w:t>
      </w:r>
      <w:proofErr w:type="spellEnd"/>
      <w:r>
        <w:t xml:space="preserve"> и смешанного типа действия, указанных в подпунктах </w:t>
      </w:r>
      <w:hyperlink r:id="rId15" w:anchor="a24" w:tooltip="+" w:history="1">
        <w:r w:rsidRPr="00BD6D5D">
          <w:t>3.1–3.8</w:t>
        </w:r>
      </w:hyperlink>
      <w:r>
        <w:t xml:space="preserve"> пункта 3 приложения 1;</w:t>
      </w:r>
    </w:p>
    <w:p w:rsidR="003146F3" w:rsidRPr="00BD6D5D" w:rsidRDefault="003146F3" w:rsidP="003146F3">
      <w:pPr>
        <w:pStyle w:val="newncpi"/>
        <w:rPr>
          <w:b/>
        </w:rPr>
      </w:pPr>
      <w:r w:rsidRPr="00BD6D5D">
        <w:rPr>
          <w:b/>
        </w:rPr>
        <w:t>1 раз в 3 года:</w:t>
      </w:r>
    </w:p>
    <w:p w:rsidR="003146F3" w:rsidRDefault="003146F3" w:rsidP="003146F3">
      <w:pPr>
        <w:pStyle w:val="newncpi"/>
      </w:pPr>
      <w:r>
        <w:t>при воздействии химических факторов (химических веществ 3-го и (или) 4-го класса опасности), указанных в </w:t>
      </w:r>
      <w:hyperlink r:id="rId16" w:anchor="a17" w:tooltip="+" w:history="1">
        <w:r w:rsidRPr="00BD6D5D">
          <w:t>пункте 1</w:t>
        </w:r>
      </w:hyperlink>
      <w:r>
        <w:t xml:space="preserve"> приложения 1, которые по результатам оценки условий труда отнесены </w:t>
      </w:r>
      <w:proofErr w:type="gramStart"/>
      <w:r>
        <w:t>к</w:t>
      </w:r>
      <w:proofErr w:type="gramEnd"/>
      <w:r>
        <w:t> допустимым (класс 2);</w:t>
      </w:r>
    </w:p>
    <w:p w:rsidR="003A2114" w:rsidRPr="00BD6D5D" w:rsidRDefault="003146F3" w:rsidP="00BD6D5D">
      <w:pPr>
        <w:pStyle w:val="newncpi"/>
      </w:pPr>
      <w:r>
        <w:t xml:space="preserve">при воздействии химических факторов, указанных в подпунктах </w:t>
      </w:r>
      <w:hyperlink r:id="rId17" w:anchor="a25" w:tooltip="+" w:history="1">
        <w:r w:rsidRPr="00BD6D5D">
          <w:t>1.2.1</w:t>
        </w:r>
      </w:hyperlink>
      <w:r>
        <w:t xml:space="preserve">, </w:t>
      </w:r>
      <w:hyperlink r:id="rId18" w:anchor="a26" w:tooltip="+" w:history="1">
        <w:r w:rsidRPr="00BD6D5D">
          <w:t>1.2.3</w:t>
        </w:r>
      </w:hyperlink>
      <w:r>
        <w:t>, 1.2.4 и </w:t>
      </w:r>
      <w:hyperlink r:id="rId19" w:anchor="a27" w:tooltip="+" w:history="1">
        <w:r w:rsidRPr="00BD6D5D">
          <w:t>1.2.6</w:t>
        </w:r>
      </w:hyperlink>
      <w:r>
        <w:t xml:space="preserve"> пункта 1 приложения 1, которые по результатам оценки условий труда отнесены </w:t>
      </w:r>
      <w:proofErr w:type="gramStart"/>
      <w:r>
        <w:t>к</w:t>
      </w:r>
      <w:proofErr w:type="gramEnd"/>
      <w:r>
        <w:t> допустимым (класс 2).</w:t>
      </w:r>
    </w:p>
    <w:sectPr w:rsidR="003A2114" w:rsidRPr="00BD6D5D" w:rsidSect="003A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146F3"/>
    <w:rsid w:val="003146F3"/>
    <w:rsid w:val="003A2114"/>
    <w:rsid w:val="00434FA6"/>
    <w:rsid w:val="005C7288"/>
    <w:rsid w:val="00B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6F3"/>
    <w:rPr>
      <w:color w:val="0038C8"/>
      <w:u w:val="single"/>
    </w:rPr>
  </w:style>
  <w:style w:type="paragraph" w:customStyle="1" w:styleId="point">
    <w:name w:val="point"/>
    <w:basedOn w:val="a"/>
    <w:rsid w:val="003146F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46F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146F3"/>
    <w:rPr>
      <w:shd w:val="clear" w:color="auto" w:fill="FFFF00"/>
    </w:rPr>
  </w:style>
  <w:style w:type="paragraph" w:customStyle="1" w:styleId="titlencpi">
    <w:name w:val="titlencpi"/>
    <w:basedOn w:val="a"/>
    <w:rsid w:val="003146F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3146F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46F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146F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146F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146F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10620.htm" TargetMode="External"/><Relationship Id="rId13" Type="http://schemas.openxmlformats.org/officeDocument/2006/relationships/hyperlink" Target="file:///P:\.profile\gbinfo\aleksane\Temp\410620.htm" TargetMode="External"/><Relationship Id="rId18" Type="http://schemas.openxmlformats.org/officeDocument/2006/relationships/hyperlink" Target="file:///P:\.profile\gbinfo\aleksane\Temp\410620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P:\.profile\gbinfo\aleksane\Temp\410620.htm" TargetMode="External"/><Relationship Id="rId12" Type="http://schemas.openxmlformats.org/officeDocument/2006/relationships/hyperlink" Target="file:///P:\.profile\gbinfo\aleksane\Temp\410620.htm" TargetMode="External"/><Relationship Id="rId17" Type="http://schemas.openxmlformats.org/officeDocument/2006/relationships/hyperlink" Target="file:///P:\.profile\gbinfo\aleksane\Temp\4106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.profile\gbinfo\aleksane\Temp\410620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P:\.profile\gbinfo\aleksane\Temp\410620.htm" TargetMode="External"/><Relationship Id="rId11" Type="http://schemas.openxmlformats.org/officeDocument/2006/relationships/hyperlink" Target="file:///P:\.profile\gbinfo\aleksane\Temp\410620.htm" TargetMode="External"/><Relationship Id="rId5" Type="http://schemas.openxmlformats.org/officeDocument/2006/relationships/hyperlink" Target="file:///P:\.profile\gbinfo\aleksane\Temp\410620.htm" TargetMode="External"/><Relationship Id="rId15" Type="http://schemas.openxmlformats.org/officeDocument/2006/relationships/hyperlink" Target="file:///P:\.profile\gbinfo\aleksane\Temp\410620.htm" TargetMode="External"/><Relationship Id="rId10" Type="http://schemas.openxmlformats.org/officeDocument/2006/relationships/hyperlink" Target="file:///P:\.profile\gbinfo\aleksane\Temp\410620.htm" TargetMode="External"/><Relationship Id="rId19" Type="http://schemas.openxmlformats.org/officeDocument/2006/relationships/hyperlink" Target="file:///P:\.profile\gbinfo\aleksane\Temp\410620.htm" TargetMode="External"/><Relationship Id="rId4" Type="http://schemas.openxmlformats.org/officeDocument/2006/relationships/hyperlink" Target="file:///P:\.profile\gbinfo\aleksane\Temp\410620.htm" TargetMode="External"/><Relationship Id="rId9" Type="http://schemas.openxmlformats.org/officeDocument/2006/relationships/hyperlink" Target="file:///P:\.profile\gbinfo\aleksane\Temp\410620.htm" TargetMode="External"/><Relationship Id="rId14" Type="http://schemas.openxmlformats.org/officeDocument/2006/relationships/hyperlink" Target="file:///P:\.profile\gbinfo\aleksane\Temp\4106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2019-11-01T09:03:00Z</dcterms:created>
  <dcterms:modified xsi:type="dcterms:W3CDTF">2019-11-12T08:44:00Z</dcterms:modified>
</cp:coreProperties>
</file>