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D2" w:rsidRDefault="00212DD2" w:rsidP="00212DD2">
      <w:pPr>
        <w:jc w:val="both"/>
      </w:pPr>
      <w:r w:rsidRPr="002E6598">
        <w:t>ОТДЕЛЬНЫЕ ТРЕБОВАНИЯ К УЧРЕЖДЕНИЯМ СПЕЦИАЛЬНОГО ОБРАЗОВАНИЯ</w:t>
      </w:r>
      <w:r w:rsidR="003D278F">
        <w:rPr>
          <w:rStyle w:val="a6"/>
        </w:rPr>
        <w:footnoteReference w:id="1"/>
      </w:r>
    </w:p>
    <w:p w:rsidR="00212DD2" w:rsidRPr="002E6598" w:rsidRDefault="00212DD2" w:rsidP="00212DD2">
      <w:pPr>
        <w:jc w:val="both"/>
      </w:pPr>
    </w:p>
    <w:p w:rsidR="00212DD2" w:rsidRPr="002E6598" w:rsidRDefault="00212DD2" w:rsidP="00212DD2">
      <w:pPr>
        <w:ind w:firstLine="708"/>
        <w:jc w:val="both"/>
      </w:pPr>
      <w:r w:rsidRPr="002E6598">
        <w:t xml:space="preserve">На территории учреждения специального образования должна быть создана </w:t>
      </w:r>
      <w:proofErr w:type="spellStart"/>
      <w:r w:rsidRPr="002E6598">
        <w:t>безбарьерная</w:t>
      </w:r>
      <w:proofErr w:type="spellEnd"/>
      <w:r w:rsidRPr="002E6598">
        <w:t xml:space="preserve"> среда для передвижения детей:</w:t>
      </w:r>
    </w:p>
    <w:p w:rsidR="00212DD2" w:rsidRPr="002E6598" w:rsidRDefault="00212DD2" w:rsidP="00212DD2">
      <w:pPr>
        <w:pStyle w:val="a3"/>
        <w:numPr>
          <w:ilvl w:val="0"/>
          <w:numId w:val="1"/>
        </w:numPr>
        <w:jc w:val="both"/>
      </w:pPr>
      <w:r w:rsidRPr="002E6598">
        <w:t>пешеходные дорожки должны иметь твердое, прочное и не допускающее скольжения покрытие с незначительным продольным и поперечным уклоном;</w:t>
      </w:r>
    </w:p>
    <w:p w:rsidR="00212DD2" w:rsidRPr="002E6598" w:rsidRDefault="00212DD2" w:rsidP="00212DD2">
      <w:pPr>
        <w:pStyle w:val="a3"/>
        <w:numPr>
          <w:ilvl w:val="0"/>
          <w:numId w:val="1"/>
        </w:numPr>
        <w:jc w:val="both"/>
      </w:pPr>
      <w:r w:rsidRPr="002E6598">
        <w:t>на путях передвижения детей с нарушениями зрения должны предусматриваться ограждения для всех опор, точечных элементов благоустройства (деревья, кустарники, столбы и прочее), по краям дорожек должен быть оборудован бордюр;</w:t>
      </w:r>
    </w:p>
    <w:p w:rsidR="00212DD2" w:rsidRPr="002E6598" w:rsidRDefault="00212DD2" w:rsidP="00212DD2">
      <w:pPr>
        <w:pStyle w:val="a3"/>
        <w:numPr>
          <w:ilvl w:val="0"/>
          <w:numId w:val="1"/>
        </w:numPr>
        <w:jc w:val="both"/>
      </w:pPr>
      <w:r w:rsidRPr="002E6598">
        <w:t>на путях передвижения детей с нарушениями функций опорно-двигательного аппарата через каждые 30 м должны предусматриваться места отдыха (устройство скамеек со спинками, места для кресла-коляски).</w:t>
      </w:r>
    </w:p>
    <w:p w:rsidR="00212DD2" w:rsidRPr="002E6598" w:rsidRDefault="00212DD2" w:rsidP="00212DD2">
      <w:pPr>
        <w:ind w:firstLine="360"/>
        <w:jc w:val="both"/>
      </w:pPr>
      <w:r w:rsidRPr="002E6598">
        <w:t>Планировочная структура здания учреждения специального образования, кроме помещений для организации образовательного процесса, сна, питания, медицинского обслуживания детей, должна предусматривать помещения для коррекционной работы с учетом вида учреждения специального образования.</w:t>
      </w:r>
    </w:p>
    <w:p w:rsidR="00212DD2" w:rsidRPr="002E6598" w:rsidRDefault="00212DD2" w:rsidP="00212DD2">
      <w:pPr>
        <w:jc w:val="both"/>
      </w:pPr>
      <w:r w:rsidRPr="002E6598">
        <w:t xml:space="preserve">100. В </w:t>
      </w:r>
      <w:proofErr w:type="spellStart"/>
      <w:r w:rsidRPr="002E6598">
        <w:t>ЦКРОиР</w:t>
      </w:r>
      <w:proofErr w:type="spellEnd"/>
      <w:r w:rsidRPr="002E6598">
        <w:t>:</w:t>
      </w:r>
    </w:p>
    <w:p w:rsidR="00212DD2" w:rsidRPr="002E6598" w:rsidRDefault="00212DD2" w:rsidP="00212DD2">
      <w:pPr>
        <w:pStyle w:val="a3"/>
        <w:numPr>
          <w:ilvl w:val="0"/>
          <w:numId w:val="2"/>
        </w:numPr>
        <w:jc w:val="both"/>
      </w:pPr>
      <w:r w:rsidRPr="002E6598">
        <w:t>планировочные решения должны быть универсальными, обеспечивать возможность пребывания и передвижения детей с тяжелыми и (или) множественными физическими и (или) психическими нарушениями, в том числе детей, не способных к самостоятельному передвижению;</w:t>
      </w:r>
    </w:p>
    <w:p w:rsidR="00212DD2" w:rsidRPr="002E6598" w:rsidRDefault="00212DD2" w:rsidP="00212DD2">
      <w:pPr>
        <w:pStyle w:val="a3"/>
        <w:numPr>
          <w:ilvl w:val="0"/>
          <w:numId w:val="2"/>
        </w:numPr>
        <w:jc w:val="both"/>
      </w:pPr>
      <w:r w:rsidRPr="002E6598">
        <w:t>дополнительно должны предусматриваться группы помещений для диагностической работы, социальной реабилитации.</w:t>
      </w:r>
    </w:p>
    <w:p w:rsidR="00212DD2" w:rsidRPr="002E6598" w:rsidRDefault="00212DD2" w:rsidP="00212DD2">
      <w:pPr>
        <w:ind w:firstLine="360"/>
        <w:jc w:val="both"/>
      </w:pPr>
      <w:r w:rsidRPr="002E6598">
        <w:t>При проектировании, строительстве,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игровой деятельности.</w:t>
      </w:r>
    </w:p>
    <w:p w:rsidR="00212DD2" w:rsidRPr="002E6598" w:rsidRDefault="00212DD2" w:rsidP="00212DD2">
      <w:pPr>
        <w:ind w:firstLine="360"/>
        <w:jc w:val="both"/>
      </w:pPr>
      <w:r w:rsidRPr="002E6598">
        <w:t>Пол гимнастической зоны должен быть выше пола основной зоны (на 6–7 см), снаряды должны фиксироваться стационарно.</w:t>
      </w:r>
    </w:p>
    <w:p w:rsidR="00212DD2" w:rsidRPr="002E6598" w:rsidRDefault="00212DD2" w:rsidP="00212DD2">
      <w:pPr>
        <w:ind w:firstLine="360"/>
        <w:jc w:val="both"/>
      </w:pPr>
      <w:r w:rsidRPr="002E6598">
        <w:t>Пол основной зоны должен иметь однородную структуру покрытия.</w:t>
      </w:r>
    </w:p>
    <w:p w:rsidR="00212DD2" w:rsidRPr="002E6598" w:rsidRDefault="00212DD2" w:rsidP="00212DD2">
      <w:pPr>
        <w:ind w:firstLine="360"/>
        <w:jc w:val="both"/>
      </w:pPr>
      <w:r w:rsidRPr="002E6598">
        <w:t>Должно предусматриваться устройство вибрирующей полосы настила для разделения основной и гимнастической зон (с небольшим уклоном в сторону основной зоны) и по периметру вдоль стен зала.</w:t>
      </w:r>
    </w:p>
    <w:p w:rsidR="00212DD2" w:rsidRPr="002E6598" w:rsidRDefault="00212DD2" w:rsidP="00212DD2">
      <w:pPr>
        <w:ind w:firstLine="360"/>
        <w:jc w:val="both"/>
      </w:pPr>
      <w:r w:rsidRPr="002E6598">
        <w:t>Для детей с нарушением слуха при оборудовании помещений должны применяться звукопоглощающие поверхности.</w:t>
      </w:r>
    </w:p>
    <w:p w:rsidR="00212DD2" w:rsidRPr="002E6598" w:rsidRDefault="00212DD2" w:rsidP="00212DD2">
      <w:pPr>
        <w:ind w:firstLine="360"/>
        <w:jc w:val="both"/>
      </w:pPr>
      <w:r w:rsidRPr="002E6598">
        <w:t>В учебных помещениях, читальных залах для детей с нарушениями зрения коэффициент естественного освещения должен быть не менее 2,5 процента, должно быть предусмотрено комбинированное искусственное освещение рабочих мест с использованием ламп накаливания в целях местного электроосвещения.</w:t>
      </w:r>
    </w:p>
    <w:p w:rsidR="00212DD2" w:rsidRPr="002E6598" w:rsidRDefault="00212DD2" w:rsidP="00212DD2">
      <w:pPr>
        <w:ind w:firstLine="360"/>
        <w:jc w:val="both"/>
      </w:pPr>
      <w:r w:rsidRPr="002E6598">
        <w:t>Уровень искусственной освещенности от системы общего освещения должен составлять не менее 400 люкс.</w:t>
      </w:r>
    </w:p>
    <w:p w:rsidR="00212DD2" w:rsidRPr="002E6598" w:rsidRDefault="00212DD2" w:rsidP="00212DD2">
      <w:pPr>
        <w:ind w:firstLine="360"/>
        <w:jc w:val="both"/>
      </w:pPr>
      <w:r w:rsidRPr="002E6598">
        <w:t>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составлять:</w:t>
      </w:r>
    </w:p>
    <w:p w:rsidR="00212DD2" w:rsidRPr="002E6598" w:rsidRDefault="00212DD2" w:rsidP="00212DD2">
      <w:pPr>
        <w:pStyle w:val="a3"/>
        <w:numPr>
          <w:ilvl w:val="0"/>
          <w:numId w:val="3"/>
        </w:numPr>
        <w:jc w:val="both"/>
      </w:pPr>
      <w:r w:rsidRPr="002E6598">
        <w:t>для детей с высокой степенью осложненной близорукости и дальнозоркостью высокой степени – не менее 1000 люкс;</w:t>
      </w:r>
    </w:p>
    <w:p w:rsidR="00212DD2" w:rsidRPr="002E6598" w:rsidRDefault="00212DD2" w:rsidP="00212DD2">
      <w:pPr>
        <w:pStyle w:val="a3"/>
        <w:numPr>
          <w:ilvl w:val="0"/>
          <w:numId w:val="3"/>
        </w:numPr>
        <w:jc w:val="both"/>
      </w:pPr>
      <w:r w:rsidRPr="002E6598">
        <w:t>для детей с поражением сетчатки и зрительного нерва (без светобоязни) – 1000–1500 люкс;</w:t>
      </w:r>
    </w:p>
    <w:p w:rsidR="00212DD2" w:rsidRPr="002E6598" w:rsidRDefault="00212DD2" w:rsidP="00212DD2">
      <w:pPr>
        <w:pStyle w:val="a3"/>
        <w:numPr>
          <w:ilvl w:val="0"/>
          <w:numId w:val="3"/>
        </w:numPr>
        <w:jc w:val="both"/>
      </w:pPr>
      <w:r w:rsidRPr="002E6598">
        <w:lastRenderedPageBreak/>
        <w:t>для детей, страдающих светобоязнью, – 200–500 люкс.</w:t>
      </w:r>
    </w:p>
    <w:p w:rsidR="00212DD2" w:rsidRPr="002E6598" w:rsidRDefault="00212DD2" w:rsidP="00212DD2">
      <w:pPr>
        <w:ind w:firstLine="360"/>
        <w:jc w:val="both"/>
      </w:pPr>
      <w:r w:rsidRPr="002E6598">
        <w:t>Учебные помещения должны быть оборудованы:</w:t>
      </w:r>
    </w:p>
    <w:p w:rsidR="00212DD2" w:rsidRPr="002E6598" w:rsidRDefault="00212DD2" w:rsidP="00212DD2">
      <w:pPr>
        <w:pStyle w:val="a3"/>
        <w:numPr>
          <w:ilvl w:val="0"/>
          <w:numId w:val="4"/>
        </w:numPr>
        <w:jc w:val="both"/>
      </w:pPr>
      <w:r w:rsidRPr="002E6598">
        <w:t>для незрячих детей – столами с горизонтальной доской, размер, специальные приспособления которой позволяют использовать для занятий учебники с рельефно-точечной системой Брайля;</w:t>
      </w:r>
    </w:p>
    <w:p w:rsidR="00212DD2" w:rsidRPr="002E6598" w:rsidRDefault="00212DD2" w:rsidP="00212DD2">
      <w:pPr>
        <w:pStyle w:val="a3"/>
        <w:numPr>
          <w:ilvl w:val="0"/>
          <w:numId w:val="4"/>
        </w:numPr>
        <w:jc w:val="both"/>
      </w:pPr>
      <w:r w:rsidRPr="002E6598">
        <w:t>для детей с интеллектуальной недостаточностью – одноместными столами;</w:t>
      </w:r>
    </w:p>
    <w:p w:rsidR="00212DD2" w:rsidRPr="002E6598" w:rsidRDefault="00212DD2" w:rsidP="00212DD2">
      <w:pPr>
        <w:pStyle w:val="a3"/>
        <w:numPr>
          <w:ilvl w:val="0"/>
          <w:numId w:val="4"/>
        </w:numPr>
        <w:jc w:val="both"/>
      </w:pPr>
      <w:r w:rsidRPr="002E6598">
        <w:t>для детей с нарушением слуха (</w:t>
      </w:r>
      <w:proofErr w:type="spellStart"/>
      <w:r w:rsidRPr="002E6598">
        <w:t>неслышащих</w:t>
      </w:r>
      <w:proofErr w:type="spellEnd"/>
      <w:r w:rsidRPr="002E6598">
        <w:t>, слабослышащих) – одноместными столами с индивидуальными пультами, столом для педагога с пультом управления, оборудованием для индивидуальной работы педагога с одним или двумя детьми.</w:t>
      </w:r>
    </w:p>
    <w:p w:rsidR="00212DD2" w:rsidRPr="002E6598" w:rsidRDefault="00212DD2" w:rsidP="00212DD2">
      <w:pPr>
        <w:ind w:firstLine="360"/>
        <w:jc w:val="both"/>
      </w:pPr>
      <w:proofErr w:type="gramStart"/>
      <w:r w:rsidRPr="002E6598">
        <w:t>В специальных общеобразовательных и вспомогательных школах (специальных общеобразовательных и вспомогательных школах-интернатах), учреждениях общего среднего образования, реализующих образовательные программы специального образования на уровне общего среднего образования, специального образования на уровне общего среднего образования для лиц с интеллектуальной недостаточностью, количество учебных, коррекционных и факультативных занятий должно соответствовать учебным планам специального образования на уровне общего среднего образования.</w:t>
      </w:r>
      <w:proofErr w:type="gramEnd"/>
    </w:p>
    <w:p w:rsidR="00212DD2" w:rsidRPr="002E6598" w:rsidRDefault="00212DD2" w:rsidP="00212DD2">
      <w:pPr>
        <w:ind w:firstLine="360"/>
        <w:jc w:val="both"/>
      </w:pPr>
      <w:r w:rsidRPr="002E6598">
        <w:t xml:space="preserve">Для детей с тяжелыми и (или) множественными физическими и (или) психическими нарушениями с учетом структуры нарушений и степени их тяжести могут разрабатываться индивидуальные учебные планы. Индивидуальные учебные планы разрабатываются на основе учебного плана первого и второго отделений вспомогательной школы (вспомогательной школы-интерната) для детей с интеллектуальной недостаточностью, учебного плана </w:t>
      </w:r>
      <w:proofErr w:type="spellStart"/>
      <w:r w:rsidRPr="002E6598">
        <w:t>ЦКРОиР</w:t>
      </w:r>
      <w:proofErr w:type="spellEnd"/>
      <w:r w:rsidRPr="002E6598">
        <w:t xml:space="preserve"> для учащихся с тяжелыми и (или) множественными физическими и (или) психическими нарушениями.</w:t>
      </w:r>
    </w:p>
    <w:p w:rsidR="00212DD2" w:rsidRPr="002E6598" w:rsidRDefault="00212DD2" w:rsidP="00212DD2">
      <w:pPr>
        <w:ind w:firstLine="360"/>
        <w:jc w:val="both"/>
      </w:pPr>
      <w:r w:rsidRPr="002E6598">
        <w:t>Между занятиями по учебным предметам и коррекционными, факультативными или логопедическими занятиями должен быть перерыв не менее 30 минут.</w:t>
      </w:r>
    </w:p>
    <w:p w:rsidR="00212DD2" w:rsidRPr="002E6598" w:rsidRDefault="00212DD2" w:rsidP="00212DD2">
      <w:pPr>
        <w:ind w:firstLine="360"/>
        <w:jc w:val="both"/>
      </w:pPr>
      <w:r w:rsidRPr="002E6598">
        <w:t>Непрерывная зрительная нагрузка при любых видах учебной деятельности на близком расстоянии не должна превышать для детей в возрасте от 6 до 10 лет – 10 минут, в возрасте от 11 лет – 15 минут.</w:t>
      </w:r>
    </w:p>
    <w:p w:rsidR="00597A32" w:rsidRDefault="00212DD2" w:rsidP="00DF6132">
      <w:pPr>
        <w:ind w:firstLine="360"/>
        <w:jc w:val="both"/>
      </w:pPr>
      <w:r w:rsidRPr="002E6598">
        <w:t>Незрячим детям с остаточным зрением, обучающимся по рельефно-точечной системе Брайля, допускается выполнять непрерывную зрительную работу один–два раза за урок по 5 минут.</w:t>
      </w:r>
    </w:p>
    <w:sectPr w:rsidR="00597A32" w:rsidSect="00CE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8F" w:rsidRPr="00F85ACA" w:rsidRDefault="003D278F" w:rsidP="003D278F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D278F" w:rsidRPr="00F85ACA" w:rsidRDefault="003D278F" w:rsidP="003D278F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8F" w:rsidRPr="00F85ACA" w:rsidRDefault="003D278F" w:rsidP="003D278F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D278F" w:rsidRPr="00F85ACA" w:rsidRDefault="003D278F" w:rsidP="003D278F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  <w:footnote w:id="1">
    <w:p w:rsidR="003D278F" w:rsidRPr="003D278F" w:rsidRDefault="003D278F" w:rsidP="003D278F">
      <w:pPr>
        <w:pStyle w:val="a4"/>
        <w:jc w:val="both"/>
        <w:rPr>
          <w:b/>
        </w:rPr>
      </w:pPr>
      <w:r>
        <w:rPr>
          <w:rStyle w:val="a6"/>
        </w:rPr>
        <w:footnoteRef/>
      </w:r>
      <w:r>
        <w:t xml:space="preserve"> См.: п. 98-105 </w:t>
      </w:r>
      <w:r w:rsidRPr="003D278F">
        <w:rPr>
          <w:rFonts w:eastAsia="Times New Roman"/>
          <w:iCs/>
        </w:rPr>
        <w:t xml:space="preserve">специфических санитарно-эпидемиологическим </w:t>
      </w:r>
      <w:hyperlink r:id="rId1" w:anchor="a2" w:tooltip="+" w:history="1">
        <w:r w:rsidRPr="003D278F">
          <w:rPr>
            <w:rFonts w:eastAsia="Times New Roman"/>
            <w:iCs/>
          </w:rPr>
          <w:t>требованиям</w:t>
        </w:r>
      </w:hyperlink>
      <w:r w:rsidRPr="003D278F">
        <w:rPr>
          <w:rFonts w:eastAsia="Times New Roman"/>
          <w:iCs/>
        </w:rPr>
        <w:t xml:space="preserve"> к содержанию и эксплуатации учреждений образования</w:t>
      </w:r>
      <w:r>
        <w:rPr>
          <w:rFonts w:eastAsia="Times New Roman"/>
          <w:iCs/>
        </w:rPr>
        <w:t xml:space="preserve">, утвержденных </w:t>
      </w:r>
      <w:r w:rsidRPr="009E436B">
        <w:t xml:space="preserve">утвержденным </w:t>
      </w:r>
      <w:r w:rsidRPr="003D278F">
        <w:rPr>
          <w:rStyle w:val="name"/>
          <w:b w:val="0"/>
          <w:caps w:val="0"/>
        </w:rPr>
        <w:t>постановлением</w:t>
      </w:r>
      <w:r w:rsidRPr="003D278F">
        <w:rPr>
          <w:rStyle w:val="name"/>
          <w:b w:val="0"/>
        </w:rPr>
        <w:t xml:space="preserve"> </w:t>
      </w:r>
      <w:r w:rsidRPr="003D278F">
        <w:rPr>
          <w:rStyle w:val="promulgator"/>
          <w:b w:val="0"/>
        </w:rPr>
        <w:t>С</w:t>
      </w:r>
      <w:r w:rsidRPr="003D278F">
        <w:rPr>
          <w:rStyle w:val="promulgator"/>
          <w:b w:val="0"/>
          <w:caps w:val="0"/>
        </w:rPr>
        <w:t xml:space="preserve">овета </w:t>
      </w:r>
      <w:r w:rsidRPr="003D278F">
        <w:rPr>
          <w:rStyle w:val="promulgator"/>
          <w:b w:val="0"/>
        </w:rPr>
        <w:t>М</w:t>
      </w:r>
      <w:r w:rsidRPr="003D278F">
        <w:rPr>
          <w:rStyle w:val="promulgator"/>
          <w:b w:val="0"/>
          <w:caps w:val="0"/>
        </w:rPr>
        <w:t xml:space="preserve">инистров </w:t>
      </w:r>
      <w:r w:rsidRPr="003D278F">
        <w:rPr>
          <w:rStyle w:val="promulgator"/>
          <w:b w:val="0"/>
        </w:rPr>
        <w:t>Р</w:t>
      </w:r>
      <w:r w:rsidRPr="003D278F">
        <w:rPr>
          <w:rStyle w:val="promulgator"/>
          <w:b w:val="0"/>
          <w:caps w:val="0"/>
        </w:rPr>
        <w:t xml:space="preserve">еспублики </w:t>
      </w:r>
      <w:r w:rsidRPr="003D278F">
        <w:rPr>
          <w:rStyle w:val="promulgator"/>
          <w:b w:val="0"/>
        </w:rPr>
        <w:t>Б</w:t>
      </w:r>
      <w:r w:rsidRPr="003D278F">
        <w:rPr>
          <w:rStyle w:val="promulgator"/>
          <w:b w:val="0"/>
          <w:caps w:val="0"/>
        </w:rPr>
        <w:t xml:space="preserve">еларусь от </w:t>
      </w:r>
      <w:r w:rsidRPr="003D278F">
        <w:rPr>
          <w:rStyle w:val="promulgator"/>
          <w:b w:val="0"/>
        </w:rPr>
        <w:t>0</w:t>
      </w:r>
      <w:r w:rsidRPr="003D278F">
        <w:rPr>
          <w:rStyle w:val="datepr"/>
          <w:i w:val="0"/>
        </w:rPr>
        <w:t>7.08.2019</w:t>
      </w:r>
      <w:r w:rsidRPr="003D278F">
        <w:rPr>
          <w:rStyle w:val="number"/>
          <w:i w:val="0"/>
        </w:rPr>
        <w:t xml:space="preserve"> № 525.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09A"/>
    <w:multiLevelType w:val="hybridMultilevel"/>
    <w:tmpl w:val="D4C8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672BA"/>
    <w:multiLevelType w:val="hybridMultilevel"/>
    <w:tmpl w:val="2E1C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E2A30"/>
    <w:multiLevelType w:val="hybridMultilevel"/>
    <w:tmpl w:val="413C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31030"/>
    <w:multiLevelType w:val="hybridMultilevel"/>
    <w:tmpl w:val="8ABE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DD2"/>
    <w:rsid w:val="00057652"/>
    <w:rsid w:val="00212DD2"/>
    <w:rsid w:val="003D278F"/>
    <w:rsid w:val="00597A32"/>
    <w:rsid w:val="00DF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D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D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D278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278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D278F"/>
    <w:rPr>
      <w:vertAlign w:val="superscript"/>
    </w:rPr>
  </w:style>
  <w:style w:type="character" w:customStyle="1" w:styleId="name">
    <w:name w:val="name"/>
    <w:basedOn w:val="a0"/>
    <w:rsid w:val="003D278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D278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D27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D278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0655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76BA-D2A3-4514-81B0-8E349BC6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2019-10-09T11:00:00Z</dcterms:created>
  <dcterms:modified xsi:type="dcterms:W3CDTF">2019-10-15T12:53:00Z</dcterms:modified>
</cp:coreProperties>
</file>